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79" w:rsidRPr="00E054F9" w:rsidRDefault="00AA7179" w:rsidP="00AA7179">
      <w:pPr>
        <w:pStyle w:val="ListParagraph"/>
        <w:numPr>
          <w:ilvl w:val="0"/>
          <w:numId w:val="1"/>
        </w:numPr>
        <w:jc w:val="both"/>
        <w:rPr>
          <w:rFonts w:ascii="Arial Black" w:hAnsi="Arial Black"/>
          <w:sz w:val="20"/>
          <w:szCs w:val="20"/>
          <w:highlight w:val="lightGray"/>
        </w:rPr>
      </w:pPr>
      <w:r w:rsidRPr="00E054F9">
        <w:rPr>
          <w:rFonts w:ascii="Arial Black" w:hAnsi="Arial Black"/>
          <w:sz w:val="20"/>
          <w:szCs w:val="20"/>
          <w:highlight w:val="lightGray"/>
        </w:rPr>
        <w:t>LA PROTECTION JURIDICTIONNELLE DES LIBERTES PUBLIQUES</w:t>
      </w:r>
    </w:p>
    <w:p w:rsidR="00AA7179" w:rsidRPr="00E054F9" w:rsidRDefault="00AA7179" w:rsidP="00AA7179">
      <w:pPr>
        <w:ind w:firstLine="426"/>
        <w:jc w:val="both"/>
        <w:rPr>
          <w:sz w:val="20"/>
          <w:szCs w:val="20"/>
        </w:rPr>
      </w:pPr>
      <w:r w:rsidRPr="00E054F9">
        <w:rPr>
          <w:sz w:val="20"/>
          <w:szCs w:val="20"/>
        </w:rPr>
        <w:t>La protection juridictionnelle repose sur deux grands principes : le principe de la séparation des pouvoirs, mais également, le principe de l’indépendance de la magistrature (corollaire du premier).</w:t>
      </w:r>
    </w:p>
    <w:p w:rsidR="00AA7179" w:rsidRPr="00E054F9" w:rsidRDefault="00AA7179" w:rsidP="00AA7179">
      <w:pPr>
        <w:pStyle w:val="ListParagraph"/>
        <w:numPr>
          <w:ilvl w:val="0"/>
          <w:numId w:val="2"/>
        </w:numPr>
        <w:jc w:val="both"/>
        <w:rPr>
          <w:rFonts w:ascii="Arial Black" w:hAnsi="Arial Black"/>
          <w:sz w:val="20"/>
          <w:szCs w:val="20"/>
          <w:highlight w:val="lightGray"/>
        </w:rPr>
      </w:pPr>
      <w:r>
        <w:rPr>
          <w:rFonts w:ascii="Arial Black" w:hAnsi="Arial Black"/>
          <w:sz w:val="20"/>
          <w:szCs w:val="20"/>
          <w:highlight w:val="lightGray"/>
        </w:rPr>
        <w:t xml:space="preserve">L'action en </w:t>
      </w:r>
      <w:r w:rsidRPr="00E054F9">
        <w:rPr>
          <w:rFonts w:ascii="Arial Black" w:hAnsi="Arial Black"/>
          <w:sz w:val="20"/>
          <w:szCs w:val="20"/>
          <w:highlight w:val="lightGray"/>
        </w:rPr>
        <w:t>annulation</w:t>
      </w:r>
    </w:p>
    <w:p w:rsidR="00AA7179" w:rsidRPr="00097062" w:rsidRDefault="00AA7179" w:rsidP="00AA7179">
      <w:pPr>
        <w:pStyle w:val="ListParagraph"/>
        <w:numPr>
          <w:ilvl w:val="0"/>
          <w:numId w:val="3"/>
        </w:numPr>
        <w:jc w:val="both"/>
        <w:rPr>
          <w:b/>
          <w:sz w:val="20"/>
          <w:szCs w:val="20"/>
          <w:highlight w:val="lightGray"/>
        </w:rPr>
      </w:pPr>
      <w:r w:rsidRPr="00097062">
        <w:rPr>
          <w:b/>
          <w:sz w:val="20"/>
          <w:szCs w:val="20"/>
          <w:highlight w:val="lightGray"/>
        </w:rPr>
        <w:t>Le recours pour excès de pouvoir</w:t>
      </w:r>
    </w:p>
    <w:p w:rsidR="00AA7179" w:rsidRDefault="00AA7179" w:rsidP="00AA7179">
      <w:pPr>
        <w:ind w:firstLine="426"/>
        <w:jc w:val="both"/>
        <w:rPr>
          <w:sz w:val="20"/>
          <w:szCs w:val="20"/>
        </w:rPr>
      </w:pPr>
      <w:r w:rsidRPr="00E054F9">
        <w:rPr>
          <w:b/>
          <w:sz w:val="20"/>
          <w:szCs w:val="20"/>
        </w:rPr>
        <w:t>Le recours pour excès de pouvoir</w:t>
      </w:r>
      <w:r w:rsidRPr="00E054F9">
        <w:rPr>
          <w:sz w:val="20"/>
          <w:szCs w:val="20"/>
        </w:rPr>
        <w:t xml:space="preserve"> est une action en justice par laquelle un requérant ou un particulier qui y a intérêt, provoque l’annulation d’un acte administratif par le juge de l’excès de pouvoir qui est la chambre administrative de la Cour Suprême, compétente en matière d’annulation des actes administratifs.</w:t>
      </w:r>
    </w:p>
    <w:p w:rsidR="00AA7179" w:rsidRPr="00E054F9" w:rsidRDefault="00AA7179" w:rsidP="00AA7179">
      <w:pPr>
        <w:ind w:firstLine="426"/>
        <w:jc w:val="both"/>
        <w:rPr>
          <w:sz w:val="20"/>
          <w:szCs w:val="20"/>
        </w:rPr>
      </w:pPr>
      <w:r w:rsidRPr="00E054F9">
        <w:rPr>
          <w:sz w:val="20"/>
          <w:szCs w:val="20"/>
        </w:rPr>
        <w:t>L’annulation fait disparaître l’acte aussi bien pour l’avenir que pour le passé. L’acte annulé est considéré comme n’ayant jamais existé. En matière de protection des Libertés publiques, un acte administratif qui méconnait une Liberté Publique est susceptible d’une annulation.</w:t>
      </w:r>
    </w:p>
    <w:p w:rsidR="00AA7179" w:rsidRPr="00097062" w:rsidRDefault="00AA7179" w:rsidP="00AA7179">
      <w:pPr>
        <w:pStyle w:val="ListParagraph"/>
        <w:numPr>
          <w:ilvl w:val="0"/>
          <w:numId w:val="3"/>
        </w:numPr>
        <w:jc w:val="both"/>
        <w:rPr>
          <w:b/>
          <w:sz w:val="20"/>
          <w:szCs w:val="20"/>
          <w:highlight w:val="lightGray"/>
        </w:rPr>
      </w:pPr>
      <w:r w:rsidRPr="00097062">
        <w:rPr>
          <w:b/>
          <w:sz w:val="20"/>
          <w:szCs w:val="20"/>
          <w:highlight w:val="lightGray"/>
        </w:rPr>
        <w:t>Le contrôle de la constitutionnalité des lois</w:t>
      </w:r>
    </w:p>
    <w:p w:rsidR="00AA7179" w:rsidRPr="00E054F9" w:rsidRDefault="00AA7179" w:rsidP="00AA7179">
      <w:pPr>
        <w:ind w:firstLine="426"/>
        <w:jc w:val="both"/>
        <w:rPr>
          <w:sz w:val="20"/>
          <w:szCs w:val="20"/>
        </w:rPr>
      </w:pPr>
      <w:r w:rsidRPr="00E054F9">
        <w:rPr>
          <w:sz w:val="20"/>
          <w:szCs w:val="20"/>
        </w:rPr>
        <w:t>Le contrôle de la constitutionnalité des lois est dévolu au Conseil constitutionnel. Il permet de confronter une loi à la Constitution. L’absence de conformité de la loi par rapport à la Constitution entraîne son annulation.</w:t>
      </w:r>
    </w:p>
    <w:p w:rsidR="00AA7179" w:rsidRPr="00097062" w:rsidRDefault="00AA7179" w:rsidP="00AA7179">
      <w:pPr>
        <w:pStyle w:val="ListParagraph"/>
        <w:numPr>
          <w:ilvl w:val="0"/>
          <w:numId w:val="2"/>
        </w:numPr>
        <w:jc w:val="both"/>
        <w:rPr>
          <w:rFonts w:ascii="Arial Black" w:hAnsi="Arial Black"/>
          <w:sz w:val="20"/>
          <w:szCs w:val="20"/>
          <w:highlight w:val="lightGray"/>
        </w:rPr>
      </w:pPr>
      <w:r w:rsidRPr="00097062">
        <w:rPr>
          <w:rFonts w:ascii="Arial Black" w:hAnsi="Arial Black"/>
          <w:sz w:val="20"/>
          <w:szCs w:val="20"/>
          <w:highlight w:val="lightGray"/>
        </w:rPr>
        <w:t>L’action en responsabilité</w:t>
      </w:r>
    </w:p>
    <w:p w:rsidR="00AA7179" w:rsidRDefault="00AA7179" w:rsidP="00AA7179">
      <w:pPr>
        <w:ind w:firstLine="426"/>
        <w:jc w:val="both"/>
        <w:rPr>
          <w:sz w:val="20"/>
          <w:szCs w:val="20"/>
        </w:rPr>
      </w:pPr>
      <w:r w:rsidRPr="00E054F9">
        <w:rPr>
          <w:sz w:val="20"/>
          <w:szCs w:val="20"/>
        </w:rPr>
        <w:t>Lorsqu’un acte ou une opération matérielle cause des dommages matériels ou subjectifs (par ex : atteinte à l’honneur ou à la dignité humaine), ces dits actes peuvent engager la responsabilité de l’Administration pour les dommages subis par les particuliers. Cette action en responsabilité est engagée devant le tribunal régional statuant en matière administrative.</w:t>
      </w:r>
    </w:p>
    <w:p w:rsidR="00AA7179" w:rsidRPr="00E054F9" w:rsidRDefault="00AA7179" w:rsidP="00AA7179">
      <w:pPr>
        <w:ind w:firstLine="426"/>
        <w:jc w:val="both"/>
        <w:rPr>
          <w:sz w:val="20"/>
          <w:szCs w:val="20"/>
        </w:rPr>
      </w:pPr>
      <w:r w:rsidRPr="00E054F9">
        <w:rPr>
          <w:sz w:val="20"/>
          <w:szCs w:val="20"/>
        </w:rPr>
        <w:t>Cette juridiction est alors saisie selon une procédure spéciale décrite aux articles 729 et suivants du Code de Procédure Civile (C.P.C</w:t>
      </w:r>
    </w:p>
    <w:p w:rsidR="00AA7179" w:rsidRPr="00097062" w:rsidRDefault="00AA7179" w:rsidP="00AA7179">
      <w:pPr>
        <w:pStyle w:val="ListParagraph"/>
        <w:numPr>
          <w:ilvl w:val="0"/>
          <w:numId w:val="1"/>
        </w:numPr>
        <w:jc w:val="both"/>
        <w:rPr>
          <w:rFonts w:ascii="Arial Black" w:hAnsi="Arial Black"/>
          <w:sz w:val="20"/>
          <w:szCs w:val="20"/>
          <w:highlight w:val="lightGray"/>
        </w:rPr>
      </w:pPr>
      <w:r w:rsidRPr="00097062">
        <w:rPr>
          <w:rFonts w:ascii="Arial Black" w:hAnsi="Arial Black"/>
          <w:sz w:val="20"/>
          <w:szCs w:val="20"/>
          <w:highlight w:val="lightGray"/>
        </w:rPr>
        <w:t>LA PROTECTION NON JURIDICTIONNELLE DES LIBERTES PUBLIQUES</w:t>
      </w:r>
    </w:p>
    <w:p w:rsidR="00AA7179" w:rsidRPr="00E054F9" w:rsidRDefault="00AA7179" w:rsidP="00AA7179">
      <w:pPr>
        <w:ind w:firstLine="426"/>
        <w:jc w:val="both"/>
        <w:rPr>
          <w:sz w:val="20"/>
          <w:szCs w:val="20"/>
        </w:rPr>
      </w:pPr>
      <w:r w:rsidRPr="00E054F9">
        <w:rPr>
          <w:sz w:val="20"/>
          <w:szCs w:val="20"/>
        </w:rPr>
        <w:t>Par protection non juridictionnelle, il faut entendre les mesures de protection en dehors des juridictions. C’est, essentiellement, le recours au Médiateur de la République.</w:t>
      </w:r>
    </w:p>
    <w:p w:rsidR="00AA7179" w:rsidRPr="00097062" w:rsidRDefault="00AA7179" w:rsidP="00AA7179">
      <w:pPr>
        <w:pStyle w:val="ListParagraph"/>
        <w:numPr>
          <w:ilvl w:val="0"/>
          <w:numId w:val="4"/>
        </w:numPr>
        <w:jc w:val="both"/>
        <w:rPr>
          <w:rFonts w:ascii="Arial Black" w:hAnsi="Arial Black"/>
          <w:sz w:val="20"/>
          <w:szCs w:val="20"/>
          <w:highlight w:val="lightGray"/>
        </w:rPr>
      </w:pPr>
      <w:r w:rsidRPr="00097062">
        <w:rPr>
          <w:rFonts w:ascii="Arial Black" w:hAnsi="Arial Black"/>
          <w:sz w:val="20"/>
          <w:szCs w:val="20"/>
          <w:highlight w:val="lightGray"/>
        </w:rPr>
        <w:t>Les recours au Médiateur de la République</w:t>
      </w:r>
    </w:p>
    <w:p w:rsidR="00AA7179" w:rsidRDefault="00AA7179" w:rsidP="00AA7179">
      <w:pPr>
        <w:ind w:firstLine="426"/>
        <w:jc w:val="both"/>
        <w:rPr>
          <w:sz w:val="20"/>
          <w:szCs w:val="20"/>
        </w:rPr>
      </w:pPr>
      <w:r w:rsidRPr="00E054F9">
        <w:rPr>
          <w:sz w:val="20"/>
          <w:szCs w:val="20"/>
        </w:rPr>
        <w:t>Il est une autorité administrative indépendante chargée de gérer les litiges qui s’élèvent entre les particuliers et les services publics.</w:t>
      </w:r>
      <w:r>
        <w:rPr>
          <w:sz w:val="20"/>
          <w:szCs w:val="20"/>
        </w:rPr>
        <w:t xml:space="preserve"> </w:t>
      </w:r>
      <w:r w:rsidRPr="00E054F9">
        <w:rPr>
          <w:sz w:val="20"/>
          <w:szCs w:val="20"/>
        </w:rPr>
        <w:t>Tout fonctionnement défectueux d’un organe investi d’une mission de service public entre dans les compétences du Médiateur de la République. Autrement dit, tout acte attentatoire aux Libertés publiques, d’un organe investi d’une mission de service public, est peut-être déféré devant le Médiateur de la République.</w:t>
      </w:r>
    </w:p>
    <w:p w:rsidR="00AA7179" w:rsidRPr="00E054F9" w:rsidRDefault="00AA7179" w:rsidP="00AA7179">
      <w:pPr>
        <w:ind w:firstLine="426"/>
        <w:jc w:val="both"/>
        <w:rPr>
          <w:sz w:val="20"/>
          <w:szCs w:val="20"/>
        </w:rPr>
      </w:pPr>
      <w:r w:rsidRPr="00E054F9">
        <w:rPr>
          <w:sz w:val="20"/>
          <w:szCs w:val="20"/>
        </w:rPr>
        <w:t>Toutefois, il convient de préciser que le Médiateur de la République procède par recommandations et propositions.</w:t>
      </w:r>
    </w:p>
    <w:p w:rsidR="00AA7179" w:rsidRPr="00097062" w:rsidRDefault="00AA7179" w:rsidP="00AA7179">
      <w:pPr>
        <w:pStyle w:val="ListParagraph"/>
        <w:numPr>
          <w:ilvl w:val="0"/>
          <w:numId w:val="4"/>
        </w:numPr>
        <w:jc w:val="both"/>
        <w:rPr>
          <w:rFonts w:ascii="Arial Black" w:hAnsi="Arial Black"/>
          <w:sz w:val="20"/>
          <w:szCs w:val="20"/>
          <w:highlight w:val="lightGray"/>
        </w:rPr>
      </w:pPr>
      <w:r w:rsidRPr="00097062">
        <w:rPr>
          <w:rFonts w:ascii="Arial Black" w:hAnsi="Arial Black"/>
          <w:sz w:val="20"/>
          <w:szCs w:val="20"/>
          <w:highlight w:val="lightGray"/>
        </w:rPr>
        <w:t>La portée des recommandations du Médiateur de la République</w:t>
      </w:r>
    </w:p>
    <w:p w:rsidR="00AA7179" w:rsidRDefault="00AA7179" w:rsidP="00AA7179">
      <w:pPr>
        <w:ind w:firstLine="426"/>
        <w:jc w:val="both"/>
        <w:rPr>
          <w:sz w:val="20"/>
          <w:szCs w:val="20"/>
        </w:rPr>
      </w:pPr>
      <w:r w:rsidRPr="00E054F9">
        <w:rPr>
          <w:sz w:val="20"/>
          <w:szCs w:val="20"/>
        </w:rPr>
        <w:t>Les recommandations et les propositions du Médiateur de la République n’ont aucune portée juridique contraignante. Ce ne sont que des propositions et des recommandations faites au Président de la République qui est libre de déterminer l’usage qui en sera fait.</w:t>
      </w:r>
      <w:r w:rsidRPr="00E054F9">
        <w:rPr>
          <w:sz w:val="20"/>
          <w:szCs w:val="20"/>
        </w:rPr>
        <w:tab/>
        <w:t xml:space="preserve"> </w:t>
      </w:r>
    </w:p>
    <w:p w:rsidR="00AA7179" w:rsidRPr="00E054F9" w:rsidRDefault="00AA7179" w:rsidP="00AA7179">
      <w:pPr>
        <w:ind w:firstLine="426"/>
        <w:jc w:val="both"/>
        <w:rPr>
          <w:sz w:val="20"/>
          <w:szCs w:val="20"/>
        </w:rPr>
      </w:pPr>
      <w:r w:rsidRPr="00E054F9">
        <w:rPr>
          <w:sz w:val="20"/>
          <w:szCs w:val="20"/>
        </w:rPr>
        <w:t>En résumé, il s’agit pour le Médiateur de la République de créer les conditions nécessaires à la consolidation de l’Etat de droit et de constituer un contre poids à un exercice abusif de l’autorité administrative, garantissant ainsi les droits et libertés des citoyens.</w:t>
      </w:r>
    </w:p>
    <w:p w:rsidR="005C75A8" w:rsidRDefault="005C75A8">
      <w:bookmarkStart w:id="0" w:name="_GoBack"/>
      <w:bookmarkEnd w:id="0"/>
    </w:p>
    <w:sectPr w:rsidR="005C75A8" w:rsidSect="00B73F5C">
      <w:headerReference w:type="default" r:id="rId5"/>
      <w:footerReference w:type="default" r:id="rId6"/>
      <w:pgSz w:w="11906" w:h="16838"/>
      <w:pgMar w:top="426" w:right="720" w:bottom="720" w:left="720" w:header="708" w:footer="1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lk Marks">
    <w:altName w:val="Times New Roman"/>
    <w:panose1 w:val="00000000000000000000"/>
    <w:charset w:val="00"/>
    <w:family w:val="modern"/>
    <w:notTrueType/>
    <w:pitch w:val="variable"/>
    <w:sig w:usb0="00000003"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62" w:rsidRPr="00A151BB" w:rsidRDefault="00AA7179" w:rsidP="00097062">
    <w:pPr>
      <w:pStyle w:val="Footer"/>
      <w:rPr>
        <w:sz w:val="18"/>
        <w:highlight w:val="lightGray"/>
      </w:rPr>
    </w:pPr>
    <w:r w:rsidRPr="00A151BB">
      <w:rPr>
        <w:rFonts w:ascii="Arial Black" w:hAnsi="Arial Black"/>
        <w:noProof/>
        <w:sz w:val="18"/>
        <w:highlight w:val="lightGray"/>
        <w:lang w:eastAsia="fr-FR"/>
      </w:rPr>
      <mc:AlternateContent>
        <mc:Choice Requires="wps">
          <w:drawing>
            <wp:anchor distT="0" distB="0" distL="114300" distR="114300" simplePos="0" relativeHeight="251659264" behindDoc="0" locked="0" layoutInCell="0" allowOverlap="1" wp14:anchorId="15123DEE" wp14:editId="77DE9E89">
              <wp:simplePos x="0" y="0"/>
              <wp:positionH relativeFrom="margin">
                <wp:align>right</wp:align>
              </wp:positionH>
              <wp:positionV relativeFrom="bottomMargin">
                <wp:posOffset>14785</wp:posOffset>
              </wp:positionV>
              <wp:extent cx="247650" cy="190500"/>
              <wp:effectExtent l="0" t="0" r="0" b="0"/>
              <wp:wrapNone/>
              <wp:docPr id="1" name="Folded Corn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foldedCorner">
                        <a:avLst>
                          <a:gd name="adj" fmla="val 0"/>
                        </a:avLst>
                      </a:prstGeom>
                      <a:solidFill>
                        <a:schemeClr val="tx1"/>
                      </a:solidFill>
                      <a:ln w="3175">
                        <a:noFill/>
                        <a:round/>
                        <a:headEnd/>
                        <a:tailEnd/>
                      </a:ln>
                    </wps:spPr>
                    <wps:txbx>
                      <w:txbxContent>
                        <w:p w:rsidR="00097062" w:rsidRPr="001248FA" w:rsidRDefault="00AA7179" w:rsidP="00097062">
                          <w:pPr>
                            <w:jc w:val="center"/>
                            <w:rPr>
                              <w:rFonts w:ascii="Chalk Marks" w:hAnsi="Chalk Marks"/>
                              <w:color w:val="FFFFFF" w:themeColor="background1"/>
                            </w:rPr>
                          </w:pPr>
                          <w:r w:rsidRPr="001248FA">
                            <w:rPr>
                              <w:rFonts w:ascii="Chalk Marks" w:hAnsi="Chalk Marks"/>
                              <w:color w:val="FFFFFF" w:themeColor="background1"/>
                              <w:sz w:val="24"/>
                            </w:rPr>
                            <w:fldChar w:fldCharType="begin"/>
                          </w:r>
                          <w:r w:rsidRPr="001248FA">
                            <w:rPr>
                              <w:rFonts w:ascii="Chalk Marks" w:hAnsi="Chalk Marks"/>
                              <w:color w:val="FFFFFF" w:themeColor="background1"/>
                            </w:rPr>
                            <w:instrText xml:space="preserve"> PAGE    \* MERGEFORMAT </w:instrText>
                          </w:r>
                          <w:r w:rsidRPr="001248FA">
                            <w:rPr>
                              <w:rFonts w:ascii="Chalk Marks" w:hAnsi="Chalk Marks"/>
                              <w:color w:val="FFFFFF" w:themeColor="background1"/>
                              <w:sz w:val="24"/>
                            </w:rPr>
                            <w:fldChar w:fldCharType="separate"/>
                          </w:r>
                          <w:r w:rsidRPr="00AA7179">
                            <w:rPr>
                              <w:rFonts w:ascii="Chalk Marks" w:hAnsi="Chalk Marks"/>
                              <w:noProof/>
                              <w:color w:val="FFFFFF" w:themeColor="background1"/>
                              <w:sz w:val="18"/>
                              <w:szCs w:val="16"/>
                            </w:rPr>
                            <w:t>1</w:t>
                          </w:r>
                          <w:r w:rsidRPr="001248FA">
                            <w:rPr>
                              <w:rFonts w:ascii="Chalk Marks" w:hAnsi="Chalk Marks"/>
                              <w:noProof/>
                              <w:color w:val="FFFFFF" w:themeColor="background1"/>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23D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31.7pt;margin-top:1.15pt;width:19.5pt;height: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" o:allowincell="f" adj="21600" fillcolor="black [3213]" stroked="f" strokeweight=".25pt">
              <v:textbox>
                <w:txbxContent>
                  <w:p w:rsidR="00097062" w:rsidRPr="001248FA" w:rsidRDefault="00AA7179" w:rsidP="00097062">
                    <w:pPr>
                      <w:jc w:val="center"/>
                      <w:rPr>
                        <w:rFonts w:ascii="Chalk Marks" w:hAnsi="Chalk Marks"/>
                        <w:color w:val="FFFFFF" w:themeColor="background1"/>
                      </w:rPr>
                    </w:pPr>
                    <w:r w:rsidRPr="001248FA">
                      <w:rPr>
                        <w:rFonts w:ascii="Chalk Marks" w:hAnsi="Chalk Marks"/>
                        <w:color w:val="FFFFFF" w:themeColor="background1"/>
                        <w:sz w:val="24"/>
                      </w:rPr>
                      <w:fldChar w:fldCharType="begin"/>
                    </w:r>
                    <w:r w:rsidRPr="001248FA">
                      <w:rPr>
                        <w:rFonts w:ascii="Chalk Marks" w:hAnsi="Chalk Marks"/>
                        <w:color w:val="FFFFFF" w:themeColor="background1"/>
                      </w:rPr>
                      <w:instrText xml:space="preserve"> PAGE    \* MERGEFORMAT </w:instrText>
                    </w:r>
                    <w:r w:rsidRPr="001248FA">
                      <w:rPr>
                        <w:rFonts w:ascii="Chalk Marks" w:hAnsi="Chalk Marks"/>
                        <w:color w:val="FFFFFF" w:themeColor="background1"/>
                        <w:sz w:val="24"/>
                      </w:rPr>
                      <w:fldChar w:fldCharType="separate"/>
                    </w:r>
                    <w:r w:rsidRPr="00AA7179">
                      <w:rPr>
                        <w:rFonts w:ascii="Chalk Marks" w:hAnsi="Chalk Marks"/>
                        <w:noProof/>
                        <w:color w:val="FFFFFF" w:themeColor="background1"/>
                        <w:sz w:val="18"/>
                        <w:szCs w:val="16"/>
                      </w:rPr>
                      <w:t>1</w:t>
                    </w:r>
                    <w:r w:rsidRPr="001248FA">
                      <w:rPr>
                        <w:rFonts w:ascii="Chalk Marks" w:hAnsi="Chalk Marks"/>
                        <w:noProof/>
                        <w:color w:val="FFFFFF" w:themeColor="background1"/>
                        <w:sz w:val="18"/>
                        <w:szCs w:val="16"/>
                      </w:rPr>
                      <w:fldChar w:fldCharType="end"/>
                    </w:r>
                  </w:p>
                </w:txbxContent>
              </v:textbox>
              <w10:wrap anchorx="margin" anchory="margin"/>
            </v:shape>
          </w:pict>
        </mc:Fallback>
      </mc:AlternateContent>
    </w:r>
    <w:r w:rsidRPr="00A151BB">
      <w:rPr>
        <w:rFonts w:ascii="Arial Black" w:hAnsi="Arial Black"/>
        <w:sz w:val="18"/>
        <w:highlight w:val="lightGray"/>
      </w:rPr>
      <w:t>DIENG CONSULTING</w:t>
    </w:r>
    <w:r w:rsidRPr="00A151BB">
      <w:rPr>
        <w:sz w:val="18"/>
        <w:highlight w:val="lightGray"/>
      </w:rPr>
      <w:t xml:space="preserve"> </w:t>
    </w:r>
    <w:r w:rsidRPr="00A151BB">
      <w:rPr>
        <w:rFonts w:ascii="Calibri" w:hAnsi="Calibri"/>
        <w:sz w:val="18"/>
        <w:highlight w:val="lightGray"/>
      </w:rPr>
      <w:t>ꟾ</w:t>
    </w:r>
    <w:r w:rsidRPr="00A151BB">
      <w:rPr>
        <w:sz w:val="18"/>
        <w:highlight w:val="lightGray"/>
      </w:rPr>
      <w:t xml:space="preserve"> </w:t>
    </w:r>
    <w:r>
      <w:rPr>
        <w:b/>
        <w:sz w:val="18"/>
        <w:highlight w:val="lightGray"/>
      </w:rPr>
      <w:t>COURS PREPARATOIRES</w:t>
    </w:r>
    <w:r w:rsidRPr="00A151BB">
      <w:rPr>
        <w:b/>
        <w:sz w:val="18"/>
        <w:highlight w:val="lightGray"/>
      </w:rPr>
      <w:t xml:space="preserve"> 2016</w:t>
    </w:r>
    <w:r w:rsidRPr="00A151BB">
      <w:rPr>
        <w:sz w:val="18"/>
        <w:highlight w:val="lightGray"/>
      </w:rPr>
      <w:t xml:space="preserve"> </w:t>
    </w:r>
    <w:r>
      <w:rPr>
        <w:sz w:val="18"/>
        <w:highlight w:val="lightGray"/>
      </w:rPr>
      <w:t>ꟾ</w:t>
    </w:r>
    <w:r>
      <w:rPr>
        <w:sz w:val="18"/>
        <w:highlight w:val="lightGray"/>
      </w:rPr>
      <w:t xml:space="preserve"> DROIT PUBLIC</w:t>
    </w:r>
  </w:p>
  <w:p w:rsidR="00097062" w:rsidRDefault="00AA7179" w:rsidP="00097062">
    <w:pPr>
      <w:pStyle w:val="Footer"/>
    </w:pPr>
    <w:r w:rsidRPr="00A151BB">
      <w:rPr>
        <w:rFonts w:ascii="Arial Black" w:hAnsi="Arial Black"/>
        <w:sz w:val="18"/>
        <w:highlight w:val="lightGray"/>
      </w:rPr>
      <w:t>77 965 22 10</w:t>
    </w:r>
  </w:p>
  <w:p w:rsidR="00704FE7" w:rsidRPr="00097062" w:rsidRDefault="00AA7179" w:rsidP="0009706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E7" w:rsidRDefault="00AA7179">
    <w:pPr>
      <w:pStyle w:val="Header"/>
    </w:pPr>
    <w:sdt>
      <w:sdtPr>
        <w:id w:val="-58931709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51673" o:spid="_x0000_s2049" type="#_x0000_t136" style="position:absolute;margin-left:0;margin-top:0;width:658.65pt;height:79pt;rotation:315;z-index:-251656192;mso-position-horizontal:center;mso-position-horizontal-relative:margin;mso-position-vertical:center;mso-position-vertical-relative:margin" o:allowincell="f" fillcolor="silver" stroked="f">
              <v:textpath style="font-family:&quot;Arial Black&quot;;font-size:1pt" string="DIENG CONSULTING"/>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74A"/>
    <w:multiLevelType w:val="hybridMultilevel"/>
    <w:tmpl w:val="C6C4D25C"/>
    <w:lvl w:ilvl="0" w:tplc="040C0015">
      <w:start w:val="1"/>
      <w:numFmt w:val="upp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nsid w:val="2F3C4B66"/>
    <w:multiLevelType w:val="hybridMultilevel"/>
    <w:tmpl w:val="AD02A492"/>
    <w:lvl w:ilvl="0" w:tplc="040C0015">
      <w:start w:val="1"/>
      <w:numFmt w:val="upp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nsid w:val="50EC4536"/>
    <w:multiLevelType w:val="hybridMultilevel"/>
    <w:tmpl w:val="A78647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742133"/>
    <w:multiLevelType w:val="hybridMultilevel"/>
    <w:tmpl w:val="97A290E8"/>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DF"/>
    <w:rsid w:val="005C75A8"/>
    <w:rsid w:val="00744ADF"/>
    <w:rsid w:val="00AA7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F5992E-9275-40D5-803F-EB5D3303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79"/>
    <w:pPr>
      <w:ind w:left="720"/>
      <w:contextualSpacing/>
    </w:pPr>
  </w:style>
  <w:style w:type="paragraph" w:styleId="Header">
    <w:name w:val="header"/>
    <w:basedOn w:val="Normal"/>
    <w:link w:val="HeaderChar"/>
    <w:uiPriority w:val="99"/>
    <w:unhideWhenUsed/>
    <w:rsid w:val="00AA71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179"/>
  </w:style>
  <w:style w:type="paragraph" w:styleId="Footer">
    <w:name w:val="footer"/>
    <w:basedOn w:val="Normal"/>
    <w:link w:val="FooterChar"/>
    <w:uiPriority w:val="99"/>
    <w:unhideWhenUsed/>
    <w:rsid w:val="00AA71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2655</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dc:creator>
  <cp:keywords/>
  <dc:description/>
  <cp:lastModifiedBy>MAMADOU</cp:lastModifiedBy>
  <cp:revision>2</cp:revision>
  <dcterms:created xsi:type="dcterms:W3CDTF">2020-07-23T20:13:00Z</dcterms:created>
  <dcterms:modified xsi:type="dcterms:W3CDTF">2020-07-23T20:13:00Z</dcterms:modified>
</cp:coreProperties>
</file>